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2A94F5F1" w14:textId="56D8D5C0" w:rsidR="001D14C6"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5151DE">
        <w:rPr>
          <w:rFonts w:ascii="Arial" w:eastAsia="Times New Roman" w:hAnsi="Arial" w:cs="Arial"/>
          <w:sz w:val="18"/>
          <w:szCs w:val="18"/>
        </w:rPr>
        <w:t>0</w:t>
      </w:r>
      <w:r w:rsidR="006A179D">
        <w:rPr>
          <w:rFonts w:ascii="Arial" w:eastAsia="Times New Roman" w:hAnsi="Arial" w:cs="Arial"/>
          <w:sz w:val="18"/>
          <w:szCs w:val="18"/>
        </w:rPr>
        <w:t>4</w:t>
      </w:r>
      <w:r w:rsidR="005151DE">
        <w:rPr>
          <w:rFonts w:ascii="Arial" w:eastAsia="Times New Roman" w:hAnsi="Arial" w:cs="Arial"/>
          <w:sz w:val="18"/>
          <w:szCs w:val="18"/>
        </w:rPr>
        <w:t>/</w:t>
      </w:r>
      <w:r w:rsidR="006A179D">
        <w:rPr>
          <w:rFonts w:ascii="Arial" w:eastAsia="Times New Roman" w:hAnsi="Arial" w:cs="Arial"/>
          <w:sz w:val="18"/>
          <w:szCs w:val="18"/>
        </w:rPr>
        <w:t>10</w:t>
      </w:r>
      <w:r w:rsidR="005151DE">
        <w:rPr>
          <w:rFonts w:ascii="Arial" w:eastAsia="Times New Roman" w:hAnsi="Arial" w:cs="Arial"/>
          <w:sz w:val="18"/>
          <w:szCs w:val="18"/>
        </w:rPr>
        <w:t xml:space="preserve">/2022 </w:t>
      </w:r>
      <w:r w:rsidR="006400AC">
        <w:rPr>
          <w:rFonts w:ascii="Arial" w:eastAsia="Times New Roman" w:hAnsi="Arial" w:cs="Arial"/>
          <w:sz w:val="18"/>
          <w:szCs w:val="18"/>
        </w:rPr>
        <w:t>(TL:SR</w:t>
      </w:r>
      <w:r w:rsidR="005151DE">
        <w:rPr>
          <w:rFonts w:ascii="Arial" w:eastAsia="Times New Roman" w:hAnsi="Arial" w:cs="Arial"/>
          <w:sz w:val="18"/>
          <w:szCs w:val="18"/>
        </w:rPr>
        <w:t>104</w:t>
      </w:r>
      <w:r w:rsidR="006A179D">
        <w:rPr>
          <w:rFonts w:ascii="Arial" w:eastAsia="Times New Roman" w:hAnsi="Arial" w:cs="Arial"/>
          <w:sz w:val="18"/>
          <w:szCs w:val="18"/>
        </w:rPr>
        <w:t>4</w:t>
      </w:r>
      <w:r w:rsidR="006400A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0CE848F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26139E">
        <w:rPr>
          <w:rFonts w:ascii="Arial" w:eastAsia="Times New Roman" w:hAnsi="Arial" w:cs="Arial"/>
          <w:sz w:val="18"/>
          <w:szCs w:val="18"/>
        </w:rPr>
        <w:t>4/</w:t>
      </w:r>
      <w:r w:rsidRPr="00433876">
        <w:rPr>
          <w:rFonts w:ascii="Arial" w:eastAsia="Times New Roman" w:hAnsi="Arial" w:cs="Arial"/>
          <w:sz w:val="18"/>
          <w:szCs w:val="18"/>
        </w:rPr>
        <w:t>1</w:t>
      </w:r>
      <w:r w:rsidR="0026139E">
        <w:rPr>
          <w:rFonts w:ascii="Arial" w:eastAsia="Times New Roman" w:hAnsi="Arial" w:cs="Arial"/>
          <w:sz w:val="18"/>
          <w:szCs w:val="18"/>
        </w:rPr>
        <w:t>0</w:t>
      </w:r>
      <w:r w:rsidRPr="00433876">
        <w:rPr>
          <w:rFonts w:ascii="Arial" w:eastAsia="Times New Roman" w:hAnsi="Arial" w:cs="Arial"/>
          <w:sz w:val="18"/>
          <w:szCs w:val="18"/>
        </w:rPr>
        <w:t>/20</w:t>
      </w:r>
      <w:r w:rsidR="0026139E">
        <w:rPr>
          <w:rFonts w:ascii="Arial" w:eastAsia="Times New Roman" w:hAnsi="Arial" w:cs="Arial"/>
          <w:sz w:val="18"/>
          <w:szCs w:val="18"/>
        </w:rPr>
        <w:t>22</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72557726"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9000</w:t>
            </w:r>
          </w:p>
        </w:tc>
        <w:tc>
          <w:tcPr>
            <w:tcW w:w="990" w:type="dxa"/>
          </w:tcPr>
          <w:p w14:paraId="6B8A27A4" w14:textId="4897701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25936F70"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0D0739F"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82</w:t>
            </w:r>
            <w:r w:rsidRPr="00433876">
              <w:rPr>
                <w:rFonts w:ascii="Times New Roman" w:eastAsia="Times New Roman" w:hAnsi="Times New Roman"/>
                <w:sz w:val="16"/>
                <w:szCs w:val="20"/>
              </w:rPr>
              <w:t>00</w:t>
            </w:r>
          </w:p>
        </w:tc>
        <w:tc>
          <w:tcPr>
            <w:tcW w:w="990" w:type="dxa"/>
          </w:tcPr>
          <w:p w14:paraId="41DA9185" w14:textId="466F141A"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c>
          <w:tcPr>
            <w:tcW w:w="810" w:type="dxa"/>
          </w:tcPr>
          <w:p w14:paraId="790D62CB" w14:textId="0292712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w:t>
            </w:r>
            <w:r w:rsidR="0026139E">
              <w:rPr>
                <w:rFonts w:ascii="Times New Roman" w:eastAsia="Times New Roman" w:hAnsi="Times New Roman"/>
                <w:sz w:val="16"/>
                <w:szCs w:val="20"/>
              </w:rPr>
              <w:t>8</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52FD710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Annaba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Annaba City), </w:t>
            </w:r>
            <w:proofErr w:type="spellStart"/>
            <w:r w:rsidRPr="00433876">
              <w:rPr>
                <w:rFonts w:ascii="Arial" w:eastAsia="Times New Roman" w:hAnsi="Arial" w:cs="Arial"/>
                <w:bCs/>
                <w:sz w:val="18"/>
                <w:szCs w:val="18"/>
              </w:rPr>
              <w:t>Adrar</w:t>
            </w:r>
            <w:proofErr w:type="spellEnd"/>
            <w:r w:rsidRPr="00433876">
              <w:rPr>
                <w:rFonts w:ascii="Arial" w:eastAsia="Times New Roman" w:hAnsi="Arial" w:cs="Arial"/>
                <w:bCs/>
                <w:sz w:val="18"/>
                <w:szCs w:val="18"/>
              </w:rPr>
              <w:t xml:space="preserve">, Ain </w:t>
            </w:r>
            <w:proofErr w:type="spellStart"/>
            <w:r w:rsidRPr="00433876">
              <w:rPr>
                <w:rFonts w:ascii="Arial" w:eastAsia="Times New Roman" w:hAnsi="Arial" w:cs="Arial"/>
                <w:bCs/>
                <w:sz w:val="18"/>
                <w:szCs w:val="18"/>
              </w:rPr>
              <w:t>Defla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Batna</w:t>
            </w:r>
            <w:proofErr w:type="spellEnd"/>
            <w:r w:rsidRPr="00433876">
              <w:rPr>
                <w:rFonts w:ascii="Arial" w:eastAsia="Times New Roman" w:hAnsi="Arial" w:cs="Arial"/>
                <w:bCs/>
                <w:sz w:val="18"/>
                <w:szCs w:val="18"/>
              </w:rPr>
              <w:t xml:space="preserve"> (except </w:t>
            </w:r>
            <w:proofErr w:type="spellStart"/>
            <w:r w:rsidRPr="00433876">
              <w:rPr>
                <w:rFonts w:ascii="Arial" w:eastAsia="Times New Roman" w:hAnsi="Arial" w:cs="Arial"/>
                <w:bCs/>
                <w:sz w:val="18"/>
                <w:szCs w:val="18"/>
                <w:u w:val="single"/>
              </w:rPr>
              <w:t>Batna</w:t>
            </w:r>
            <w:proofErr w:type="spellEnd"/>
            <w:r w:rsidRPr="00433876">
              <w:rPr>
                <w:rFonts w:ascii="Arial" w:eastAsia="Times New Roman" w:hAnsi="Arial" w:cs="Arial"/>
                <w:bCs/>
                <w:sz w:val="18"/>
                <w:szCs w:val="18"/>
              </w:rPr>
              <w:t xml:space="preserve"> City), </w:t>
            </w:r>
            <w:proofErr w:type="spellStart"/>
            <w:r w:rsidRPr="00433876">
              <w:rPr>
                <w:rFonts w:ascii="Arial" w:eastAsia="Times New Roman" w:hAnsi="Arial" w:cs="Arial"/>
                <w:bCs/>
                <w:sz w:val="18"/>
                <w:szCs w:val="18"/>
              </w:rPr>
              <w:t>Bejaia</w:t>
            </w:r>
            <w:proofErr w:type="spellEnd"/>
            <w:r w:rsidRPr="00433876">
              <w:rPr>
                <w:rFonts w:ascii="Arial" w:eastAsia="Times New Roman" w:hAnsi="Arial" w:cs="Arial"/>
                <w:bCs/>
                <w:sz w:val="18"/>
                <w:szCs w:val="18"/>
              </w:rPr>
              <w:t xml:space="preserve">, Blida, Bordj </w:t>
            </w:r>
            <w:proofErr w:type="spellStart"/>
            <w:r w:rsidRPr="00433876">
              <w:rPr>
                <w:rFonts w:ascii="Arial" w:eastAsia="Times New Roman" w:hAnsi="Arial" w:cs="Arial"/>
                <w:bCs/>
                <w:sz w:val="18"/>
                <w:szCs w:val="18"/>
              </w:rPr>
              <w:t>Bou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Arreridj</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Bouira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Boumerdes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Constantine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Constantine City), El Oued, El </w:t>
            </w:r>
            <w:proofErr w:type="spellStart"/>
            <w:r w:rsidRPr="00433876">
              <w:rPr>
                <w:rFonts w:ascii="Arial" w:eastAsia="Times New Roman" w:hAnsi="Arial" w:cs="Arial"/>
                <w:bCs/>
                <w:sz w:val="18"/>
                <w:szCs w:val="18"/>
              </w:rPr>
              <w:t>Tarf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Ghardaia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Illizi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Jijel</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Khenchela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Laghouat</w:t>
            </w:r>
            <w:proofErr w:type="spellEnd"/>
            <w:r w:rsidRPr="00433876">
              <w:rPr>
                <w:rFonts w:ascii="Arial" w:eastAsia="Times New Roman" w:hAnsi="Arial" w:cs="Arial"/>
                <w:bCs/>
                <w:sz w:val="18"/>
                <w:szCs w:val="18"/>
              </w:rPr>
              <w:t xml:space="preserve">, Medea, </w:t>
            </w:r>
            <w:proofErr w:type="spellStart"/>
            <w:r w:rsidRPr="00433876">
              <w:rPr>
                <w:rFonts w:ascii="Arial" w:eastAsia="Times New Roman" w:hAnsi="Arial" w:cs="Arial"/>
                <w:bCs/>
                <w:sz w:val="18"/>
                <w:szCs w:val="18"/>
              </w:rPr>
              <w:t>M’Sila</w:t>
            </w:r>
            <w:proofErr w:type="spellEnd"/>
            <w:r w:rsidRPr="00433876">
              <w:rPr>
                <w:rFonts w:ascii="Arial" w:eastAsia="Times New Roman" w:hAnsi="Arial" w:cs="Arial"/>
                <w:bCs/>
                <w:sz w:val="18"/>
                <w:szCs w:val="18"/>
              </w:rPr>
              <w:t xml:space="preserve">, Ouargla, </w:t>
            </w:r>
            <w:proofErr w:type="spellStart"/>
            <w:r w:rsidRPr="00433876">
              <w:rPr>
                <w:rFonts w:ascii="Arial" w:eastAsia="Times New Roman" w:hAnsi="Arial" w:cs="Arial"/>
                <w:bCs/>
                <w:sz w:val="18"/>
                <w:szCs w:val="18"/>
              </w:rPr>
              <w:t>Oum</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el-Bouaghi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City), Sidi Bel Abbes, </w:t>
            </w:r>
            <w:proofErr w:type="spellStart"/>
            <w:r w:rsidRPr="00433876">
              <w:rPr>
                <w:rFonts w:ascii="Arial" w:eastAsia="Times New Roman" w:hAnsi="Arial" w:cs="Arial"/>
                <w:bCs/>
                <w:sz w:val="18"/>
                <w:szCs w:val="18"/>
              </w:rPr>
              <w:t>Skikda</w:t>
            </w:r>
            <w:proofErr w:type="spellEnd"/>
            <w:r w:rsidRPr="00433876">
              <w:rPr>
                <w:rFonts w:ascii="Arial" w:eastAsia="Times New Roman" w:hAnsi="Arial" w:cs="Arial"/>
                <w:bCs/>
                <w:sz w:val="18"/>
                <w:szCs w:val="18"/>
              </w:rPr>
              <w:t xml:space="preserve">, Tamanrasset, </w:t>
            </w:r>
            <w:proofErr w:type="spellStart"/>
            <w:r w:rsidRPr="00433876">
              <w:rPr>
                <w:rFonts w:ascii="Arial" w:eastAsia="Times New Roman" w:hAnsi="Arial" w:cs="Arial"/>
                <w:bCs/>
                <w:sz w:val="18"/>
                <w:szCs w:val="18"/>
              </w:rPr>
              <w:t>Tebessa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Tindouf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rPr>
              <w:t xml:space="preserve">City), </w:t>
            </w:r>
            <w:proofErr w:type="spellStart"/>
            <w:r w:rsidRPr="00433876">
              <w:rPr>
                <w:rFonts w:ascii="Arial" w:eastAsia="Times New Roman" w:hAnsi="Arial" w:cs="Arial"/>
                <w:bCs/>
                <w:sz w:val="18"/>
                <w:szCs w:val="18"/>
              </w:rPr>
              <w:t>Tissemsilt</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City)</w:t>
            </w:r>
          </w:p>
        </w:tc>
        <w:tc>
          <w:tcPr>
            <w:tcW w:w="1980" w:type="dxa"/>
          </w:tcPr>
          <w:p w14:paraId="5FE70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1D14C6">
        <w:tc>
          <w:tcPr>
            <w:tcW w:w="2358" w:type="dxa"/>
          </w:tcPr>
          <w:p w14:paraId="490CD54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bCs/>
                <w:sz w:val="18"/>
                <w:szCs w:val="18"/>
              </w:rPr>
              <w:t>Burundi</w:t>
            </w: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518FB72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p w14:paraId="117243A3"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53E49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01/24/16</w:t>
            </w:r>
          </w:p>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w:t>
            </w:r>
            <w:r w:rsidRPr="00433876">
              <w:rPr>
                <w:rFonts w:ascii="Arial" w:eastAsia="Times New Roman" w:hAnsi="Arial" w:cs="Arial"/>
                <w:sz w:val="18"/>
                <w:szCs w:val="18"/>
              </w:rPr>
              <w:t xml:space="preserve">Cartagena, Medellin, San </w:t>
            </w:r>
            <w:proofErr w:type="gramStart"/>
            <w:r w:rsidRPr="00433876">
              <w:rPr>
                <w:rFonts w:ascii="Arial" w:eastAsia="Times New Roman" w:hAnsi="Arial" w:cs="Arial"/>
                <w:sz w:val="18"/>
                <w:szCs w:val="18"/>
              </w:rPr>
              <w:t>Andres</w:t>
            </w:r>
            <w:proofErr w:type="gramEnd"/>
            <w:r w:rsidRPr="00433876">
              <w:rPr>
                <w:rFonts w:ascii="Arial" w:eastAsia="Times New Roman" w:hAnsi="Arial" w:cs="Arial"/>
                <w:sz w:val="18"/>
                <w:szCs w:val="18"/>
              </w:rPr>
              <w:t xml:space="preserve">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Basrah</w:t>
            </w:r>
            <w:proofErr w:type="spellEnd"/>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xml:space="preserve">, Garissa, Tana River, </w:t>
            </w:r>
            <w:proofErr w:type="spellStart"/>
            <w:r w:rsidRPr="00433876">
              <w:rPr>
                <w:rFonts w:ascii="Arial" w:eastAsia="Times New Roman" w:hAnsi="Arial" w:cs="Arial"/>
                <w:bCs/>
                <w:sz w:val="18"/>
                <w:szCs w:val="18"/>
              </w:rPr>
              <w:t>Lamu</w:t>
            </w:r>
            <w:proofErr w:type="spellEnd"/>
            <w:r w:rsidRPr="00433876">
              <w:rPr>
                <w:rFonts w:ascii="Arial" w:eastAsia="Times New Roman" w:hAnsi="Arial" w:cs="Arial"/>
                <w:bCs/>
                <w:sz w:val="18"/>
                <w:szCs w:val="18"/>
              </w:rPr>
              <w:t xml:space="preserve">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Kidal, </w:t>
            </w:r>
            <w:proofErr w:type="gramStart"/>
            <w:r w:rsidRPr="00433876">
              <w:rPr>
                <w:rFonts w:ascii="Arial" w:eastAsia="Times New Roman" w:hAnsi="Arial" w:cs="Arial"/>
                <w:bCs/>
                <w:sz w:val="18"/>
                <w:szCs w:val="18"/>
              </w:rPr>
              <w:t>Gao</w:t>
            </w:r>
            <w:proofErr w:type="gramEnd"/>
            <w:r w:rsidRPr="00433876">
              <w:rPr>
                <w:rFonts w:ascii="Arial" w:eastAsia="Times New Roman" w:hAnsi="Arial" w:cs="Arial"/>
                <w:bCs/>
                <w:sz w:val="18"/>
                <w:szCs w:val="18"/>
              </w:rPr>
              <w:t xml:space="preserve">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Djenne</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Macina</w:t>
            </w:r>
            <w:proofErr w:type="spellEnd"/>
            <w:r w:rsidRPr="00433876">
              <w:rPr>
                <w:rFonts w:ascii="Arial" w:eastAsia="Times New Roman" w:hAnsi="Arial" w:cs="Arial"/>
                <w:bCs/>
                <w:sz w:val="18"/>
                <w:szCs w:val="18"/>
              </w:rPr>
              <w:t xml:space="preserve">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w:t>
            </w:r>
            <w:proofErr w:type="spellStart"/>
            <w:r w:rsidRPr="00433876">
              <w:rPr>
                <w:rFonts w:ascii="Arial" w:eastAsia="Times New Roman" w:hAnsi="Arial" w:cs="Arial"/>
                <w:sz w:val="18"/>
                <w:szCs w:val="18"/>
              </w:rPr>
              <w:t>Borno</w:t>
            </w:r>
            <w:proofErr w:type="spellEnd"/>
            <w:r w:rsidRPr="00433876">
              <w:rPr>
                <w:rFonts w:ascii="Arial" w:eastAsia="Times New Roman" w:hAnsi="Arial" w:cs="Arial"/>
                <w:sz w:val="18"/>
                <w:szCs w:val="18"/>
              </w:rPr>
              <w:t xml:space="preserve">, Delta, Gombe, Kaduna, Kano, Katsina, Plateau, </w:t>
            </w:r>
            <w:r w:rsidRPr="00433876">
              <w:rPr>
                <w:rFonts w:ascii="Arial" w:eastAsia="Times New Roman" w:hAnsi="Arial" w:cs="Arial"/>
                <w:sz w:val="18"/>
                <w:szCs w:val="18"/>
              </w:rPr>
              <w:t>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w:t>
            </w:r>
            <w:r w:rsidRPr="00433876">
              <w:rPr>
                <w:rFonts w:ascii="Arial" w:eastAsia="Times New Roman" w:hAnsi="Arial" w:cs="Arial"/>
                <w:sz w:val="18"/>
                <w:szCs w:val="18"/>
              </w:rPr>
              <w:t xml:space="preserve">Peninsula, Northern Mindanao, Davao 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Caraga</w:t>
            </w:r>
            <w:proofErr w:type="spellEnd"/>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BF1C9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C68343D" w14:textId="77777777" w:rsidTr="001D14C6">
        <w:tc>
          <w:tcPr>
            <w:tcW w:w="2358" w:type="dxa"/>
          </w:tcPr>
          <w:p w14:paraId="08860DB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w:t>
            </w:r>
            <w:proofErr w:type="spellStart"/>
            <w:r w:rsidRPr="00433876">
              <w:rPr>
                <w:rFonts w:ascii="Arial" w:eastAsia="Times New Roman" w:hAnsi="Arial" w:cs="Arial"/>
                <w:sz w:val="18"/>
                <w:szCs w:val="18"/>
              </w:rPr>
              <w:t>Mardin</w:t>
            </w:r>
            <w:proofErr w:type="spellEnd"/>
            <w:r w:rsidRPr="00433876">
              <w:rPr>
                <w:rFonts w:ascii="Arial" w:eastAsia="Times New Roman" w:hAnsi="Arial" w:cs="Arial"/>
                <w:sz w:val="18"/>
                <w:szCs w:val="18"/>
              </w:rPr>
              <w:t xml:space="preserve">,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19C883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1D14C6" w:rsidRPr="00433876" w14:paraId="375E8793" w14:textId="77777777" w:rsidTr="001D14C6">
        <w:trPr>
          <w:trHeight w:val="210"/>
        </w:trPr>
        <w:tc>
          <w:tcPr>
            <w:tcW w:w="2358" w:type="dxa"/>
          </w:tcPr>
          <w:p w14:paraId="04A8D0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p w14:paraId="5B666907"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21FD2F7C" w14:textId="77777777" w:rsidTr="00A72634">
        <w:tc>
          <w:tcPr>
            <w:tcW w:w="2358" w:type="dxa"/>
          </w:tcPr>
          <w:p w14:paraId="4083D7F0"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0BF411C1" w14:textId="77777777" w:rsidTr="00A72634">
        <w:tc>
          <w:tcPr>
            <w:tcW w:w="2358" w:type="dxa"/>
          </w:tcPr>
          <w:p w14:paraId="09135E4C"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E60201" w:rsidRPr="00433876"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w:t>
            </w:r>
            <w:r w:rsidR="00E60201" w:rsidRPr="00433876">
              <w:rPr>
                <w:rFonts w:ascii="Arial" w:eastAsia="Times New Roman" w:hAnsi="Arial" w:cs="Arial"/>
                <w:sz w:val="18"/>
                <w:szCs w:val="18"/>
              </w:rPr>
              <w:t>5%     02/16/20</w:t>
            </w:r>
          </w:p>
          <w:p w14:paraId="54884CB8" w14:textId="77777777" w:rsidR="00E60201" w:rsidRPr="0043387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409078E" w14:textId="77777777" w:rsidTr="001D14C6">
        <w:trPr>
          <w:trHeight w:val="210"/>
        </w:trPr>
        <w:tc>
          <w:tcPr>
            <w:tcW w:w="2358" w:type="dxa"/>
          </w:tcPr>
          <w:p w14:paraId="2D59C39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3978006" w14:textId="77777777" w:rsidTr="001D14C6">
        <w:trPr>
          <w:trHeight w:val="210"/>
        </w:trPr>
        <w:tc>
          <w:tcPr>
            <w:tcW w:w="2358" w:type="dxa"/>
          </w:tcPr>
          <w:p w14:paraId="09739A3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3E41D109" w14:textId="77777777" w:rsidTr="001D14C6">
        <w:trPr>
          <w:trHeight w:val="210"/>
        </w:trPr>
        <w:tc>
          <w:tcPr>
            <w:tcW w:w="2358" w:type="dxa"/>
          </w:tcPr>
          <w:p w14:paraId="36171FA7"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FBAFE21" w14:textId="77777777" w:rsidTr="001D14C6">
        <w:trPr>
          <w:trHeight w:val="210"/>
        </w:trPr>
        <w:tc>
          <w:tcPr>
            <w:tcW w:w="2358" w:type="dxa"/>
          </w:tcPr>
          <w:p w14:paraId="7DFD0C1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423A3100" w14:textId="77777777" w:rsidTr="001D14C6">
        <w:trPr>
          <w:trHeight w:val="210"/>
        </w:trPr>
        <w:tc>
          <w:tcPr>
            <w:tcW w:w="2358" w:type="dxa"/>
          </w:tcPr>
          <w:p w14:paraId="63B3F5F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5A6ED14" w14:textId="77777777" w:rsidTr="001D14C6">
        <w:trPr>
          <w:trHeight w:val="210"/>
        </w:trPr>
        <w:tc>
          <w:tcPr>
            <w:tcW w:w="2358" w:type="dxa"/>
          </w:tcPr>
          <w:p w14:paraId="4D76A95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090AEDF7" w14:textId="77777777" w:rsidTr="001D14C6">
        <w:trPr>
          <w:trHeight w:val="210"/>
        </w:trPr>
        <w:tc>
          <w:tcPr>
            <w:tcW w:w="2358" w:type="dxa"/>
          </w:tcPr>
          <w:p w14:paraId="0FE1CC7E"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proofErr w:type="gramStart"/>
      <w:r w:rsidRPr="008F09A0">
        <w:rPr>
          <w:rFonts w:ascii="Arial" w:eastAsia="Times New Roman" w:hAnsi="Arial"/>
          <w:sz w:val="18"/>
          <w:szCs w:val="18"/>
        </w:rPr>
        <w:tab/>
        <w:t xml:space="preserve">  5</w:t>
      </w:r>
      <w:proofErr w:type="gramEnd"/>
      <w:r w:rsidRPr="008F09A0">
        <w:rPr>
          <w:rFonts w:ascii="Arial" w:eastAsia="Times New Roman" w:hAnsi="Arial"/>
          <w:sz w:val="18"/>
          <w:szCs w:val="18"/>
        </w:rPr>
        <w:t>%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w:t>
      </w:r>
      <w:proofErr w:type="gramStart"/>
      <w:r w:rsidRPr="00CC2B46">
        <w:rPr>
          <w:rFonts w:ascii="Arial" w:eastAsia="Times New Roman" w:hAnsi="Arial"/>
          <w:sz w:val="18"/>
          <w:szCs w:val="18"/>
        </w:rPr>
        <w:t>of  Azerbaijan</w:t>
      </w:r>
      <w:proofErr w:type="gramEnd"/>
      <w:r w:rsidRPr="00CC2B46">
        <w:rPr>
          <w:rFonts w:ascii="Arial" w:eastAsia="Times New Roman" w:hAnsi="Arial"/>
          <w:sz w:val="18"/>
          <w:szCs w:val="18"/>
        </w:rPr>
        <w:t>,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w:t>
      </w:r>
      <w:proofErr w:type="gramStart"/>
      <w:r w:rsidR="00350E09" w:rsidRPr="00433876">
        <w:rPr>
          <w:rFonts w:ascii="Arial" w:eastAsia="Times New Roman" w:hAnsi="Arial"/>
          <w:sz w:val="18"/>
          <w:szCs w:val="18"/>
        </w:rPr>
        <w:t>Kalimantan</w:t>
      </w:r>
      <w:proofErr w:type="gramEnd"/>
      <w:r w:rsidR="00350E09" w:rsidRPr="00433876">
        <w:rPr>
          <w:rFonts w:ascii="Arial" w:eastAsia="Times New Roman" w:hAnsi="Arial"/>
          <w:sz w:val="18"/>
          <w:szCs w:val="18"/>
        </w:rPr>
        <w:t xml:space="preserve">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01A" w14:textId="77777777" w:rsidR="00372807" w:rsidRDefault="00372807" w:rsidP="005C21CA">
      <w:pPr>
        <w:spacing w:after="0" w:line="240" w:lineRule="auto"/>
      </w:pPr>
      <w:r>
        <w:separator/>
      </w:r>
    </w:p>
  </w:endnote>
  <w:endnote w:type="continuationSeparator" w:id="0">
    <w:p w14:paraId="1CA5A167" w14:textId="77777777" w:rsidR="00372807" w:rsidRDefault="00372807"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1FFC" w14:textId="77777777" w:rsidR="00372807" w:rsidRDefault="00372807" w:rsidP="005C21CA">
      <w:pPr>
        <w:spacing w:after="0" w:line="240" w:lineRule="auto"/>
      </w:pPr>
      <w:r>
        <w:separator/>
      </w:r>
    </w:p>
  </w:footnote>
  <w:footnote w:type="continuationSeparator" w:id="0">
    <w:p w14:paraId="7BC896B1" w14:textId="77777777" w:rsidR="00372807" w:rsidRDefault="00372807"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96E37"/>
    <w:rsid w:val="0017592E"/>
    <w:rsid w:val="00183A9B"/>
    <w:rsid w:val="001B335B"/>
    <w:rsid w:val="001C76BA"/>
    <w:rsid w:val="001D14C6"/>
    <w:rsid w:val="001D5BA5"/>
    <w:rsid w:val="00213B8F"/>
    <w:rsid w:val="00231C27"/>
    <w:rsid w:val="00235437"/>
    <w:rsid w:val="0026139E"/>
    <w:rsid w:val="0032449A"/>
    <w:rsid w:val="00350E09"/>
    <w:rsid w:val="00372807"/>
    <w:rsid w:val="003C0551"/>
    <w:rsid w:val="003C1ECD"/>
    <w:rsid w:val="003E12C1"/>
    <w:rsid w:val="003E5C15"/>
    <w:rsid w:val="0042018B"/>
    <w:rsid w:val="0042550D"/>
    <w:rsid w:val="00433876"/>
    <w:rsid w:val="0044219E"/>
    <w:rsid w:val="00457221"/>
    <w:rsid w:val="00476C69"/>
    <w:rsid w:val="004A7CDE"/>
    <w:rsid w:val="005057A7"/>
    <w:rsid w:val="00507181"/>
    <w:rsid w:val="005151DE"/>
    <w:rsid w:val="00525DE6"/>
    <w:rsid w:val="00560C89"/>
    <w:rsid w:val="005C21CA"/>
    <w:rsid w:val="006400AC"/>
    <w:rsid w:val="006829C6"/>
    <w:rsid w:val="00686EA2"/>
    <w:rsid w:val="006A176F"/>
    <w:rsid w:val="006A179D"/>
    <w:rsid w:val="006B3D52"/>
    <w:rsid w:val="006B6788"/>
    <w:rsid w:val="006E50D6"/>
    <w:rsid w:val="00750977"/>
    <w:rsid w:val="0083010E"/>
    <w:rsid w:val="008671F6"/>
    <w:rsid w:val="00867C87"/>
    <w:rsid w:val="0087046B"/>
    <w:rsid w:val="00891A7A"/>
    <w:rsid w:val="008E5EEE"/>
    <w:rsid w:val="008F09A0"/>
    <w:rsid w:val="009113AC"/>
    <w:rsid w:val="009310F3"/>
    <w:rsid w:val="0093376E"/>
    <w:rsid w:val="009362D4"/>
    <w:rsid w:val="00A274B0"/>
    <w:rsid w:val="00A72634"/>
    <w:rsid w:val="00A832D1"/>
    <w:rsid w:val="00A85092"/>
    <w:rsid w:val="00A97970"/>
    <w:rsid w:val="00AC6693"/>
    <w:rsid w:val="00AD25D5"/>
    <w:rsid w:val="00B07717"/>
    <w:rsid w:val="00B577C1"/>
    <w:rsid w:val="00B61E11"/>
    <w:rsid w:val="00BC0050"/>
    <w:rsid w:val="00BE12E8"/>
    <w:rsid w:val="00C13201"/>
    <w:rsid w:val="00C44860"/>
    <w:rsid w:val="00C51885"/>
    <w:rsid w:val="00C54E8D"/>
    <w:rsid w:val="00CC2624"/>
    <w:rsid w:val="00CD0E99"/>
    <w:rsid w:val="00CE14AA"/>
    <w:rsid w:val="00CE2D9A"/>
    <w:rsid w:val="00CE3F5E"/>
    <w:rsid w:val="00D0359D"/>
    <w:rsid w:val="00D32C44"/>
    <w:rsid w:val="00D84B14"/>
    <w:rsid w:val="00DB4001"/>
    <w:rsid w:val="00E1460D"/>
    <w:rsid w:val="00E60201"/>
    <w:rsid w:val="00E80E1C"/>
    <w:rsid w:val="00EC1EAE"/>
    <w:rsid w:val="00F624A3"/>
    <w:rsid w:val="00FA3157"/>
    <w:rsid w:val="00FC6C4D"/>
    <w:rsid w:val="00FD4312"/>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Odom, Bahia</cp:lastModifiedBy>
  <cp:revision>2</cp:revision>
  <dcterms:created xsi:type="dcterms:W3CDTF">2022-04-08T13:39:00Z</dcterms:created>
  <dcterms:modified xsi:type="dcterms:W3CDTF">2022-04-08T13:39:00Z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