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1911E185" w14:textId="69C6B96F"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F34A74">
        <w:rPr>
          <w:rFonts w:ascii="Arial" w:eastAsia="Times New Roman" w:hAnsi="Arial" w:cs="Arial"/>
          <w:sz w:val="18"/>
          <w:szCs w:val="18"/>
        </w:rPr>
        <w:t>10/</w:t>
      </w:r>
      <w:r w:rsidR="00E4598D">
        <w:rPr>
          <w:rFonts w:ascii="Arial" w:eastAsia="Times New Roman" w:hAnsi="Arial" w:cs="Arial"/>
          <w:sz w:val="18"/>
          <w:szCs w:val="18"/>
        </w:rPr>
        <w:t>22</w:t>
      </w:r>
      <w:r w:rsidR="00F34A74">
        <w:rPr>
          <w:rFonts w:ascii="Arial" w:eastAsia="Times New Roman" w:hAnsi="Arial" w:cs="Arial"/>
          <w:sz w:val="18"/>
          <w:szCs w:val="18"/>
        </w:rPr>
        <w:t>/2023</w:t>
      </w:r>
      <w:r w:rsidR="0017799C">
        <w:rPr>
          <w:rFonts w:ascii="Arial" w:eastAsia="Times New Roman" w:hAnsi="Arial" w:cs="Arial"/>
          <w:sz w:val="18"/>
          <w:szCs w:val="18"/>
        </w:rPr>
        <w:t xml:space="preserve"> (</w:t>
      </w:r>
      <w:r w:rsidR="00A4673A">
        <w:rPr>
          <w:rFonts w:ascii="Arial" w:eastAsia="Times New Roman" w:hAnsi="Arial" w:cs="Arial"/>
          <w:sz w:val="18"/>
          <w:szCs w:val="18"/>
        </w:rPr>
        <w:t xml:space="preserve">TL:SR 1084 </w:t>
      </w:r>
      <w:r w:rsidR="006C2DB7">
        <w:rPr>
          <w:rFonts w:ascii="Arial" w:eastAsia="Times New Roman" w:hAnsi="Arial" w:cs="Arial"/>
          <w:sz w:val="18"/>
          <w:szCs w:val="18"/>
        </w:rPr>
        <w:t>Danger Pay Changes for Haiti and I</w:t>
      </w:r>
      <w:r w:rsidR="00A4673A">
        <w:rPr>
          <w:rFonts w:ascii="Arial" w:eastAsia="Times New Roman" w:hAnsi="Arial" w:cs="Arial"/>
          <w:sz w:val="18"/>
          <w:szCs w:val="18"/>
        </w:rPr>
        <w:t>srael</w:t>
      </w:r>
      <w:r w:rsidR="0017799C">
        <w:rPr>
          <w:rFonts w:ascii="Arial" w:eastAsia="Times New Roman" w:hAnsi="Arial" w:cs="Arial"/>
          <w:sz w:val="18"/>
          <w:szCs w:val="18"/>
        </w:rPr>
        <w:t>)</w:t>
      </w:r>
    </w:p>
    <w:p w14:paraId="26583EA8" w14:textId="77777777" w:rsidR="00697812" w:rsidRDefault="00697812" w:rsidP="001D14C6">
      <w:pPr>
        <w:spacing w:after="0" w:line="240" w:lineRule="auto"/>
        <w:rPr>
          <w:rFonts w:ascii="Arial" w:eastAsia="Times New Roman" w:hAnsi="Arial" w:cs="Arial"/>
          <w:sz w:val="18"/>
          <w:szCs w:val="18"/>
        </w:rPr>
      </w:pPr>
    </w:p>
    <w:p w14:paraId="01ED6C58" w14:textId="58792F70" w:rsidR="00697812" w:rsidRPr="00714725" w:rsidRDefault="00697812" w:rsidP="001347CF">
      <w:pPr>
        <w:spacing w:after="0" w:line="240" w:lineRule="auto"/>
        <w:ind w:left="720"/>
        <w:rPr>
          <w:rFonts w:ascii="Arial" w:eastAsia="Times New Roman" w:hAnsi="Arial" w:cs="Arial"/>
          <w:i/>
          <w:iCs/>
          <w:sz w:val="18"/>
          <w:szCs w:val="18"/>
        </w:rPr>
      </w:pPr>
      <w:r w:rsidRPr="00423A51">
        <w:rPr>
          <w:rFonts w:ascii="Arial" w:eastAsia="Times New Roman" w:hAnsi="Arial" w:cs="Arial"/>
          <w:b/>
          <w:bCs/>
          <w:i/>
          <w:iCs/>
          <w:color w:val="0070C0"/>
          <w:sz w:val="18"/>
          <w:szCs w:val="18"/>
        </w:rPr>
        <w:t>**</w:t>
      </w:r>
      <w:r w:rsidRPr="00423A51">
        <w:rPr>
          <w:rFonts w:ascii="Arial" w:eastAsia="Times New Roman" w:hAnsi="Arial" w:cs="Arial"/>
          <w:b/>
          <w:bCs/>
          <w:i/>
          <w:iCs/>
          <w:color w:val="0070C0"/>
          <w:sz w:val="18"/>
          <w:szCs w:val="18"/>
          <w:u w:val="single"/>
        </w:rPr>
        <w:t>CORRECTION TO ALGERIA</w:t>
      </w:r>
      <w:r w:rsidRPr="00714725">
        <w:rPr>
          <w:rFonts w:ascii="Arial" w:eastAsia="Times New Roman" w:hAnsi="Arial" w:cs="Arial"/>
          <w:b/>
          <w:bCs/>
          <w:i/>
          <w:iCs/>
          <w:sz w:val="18"/>
          <w:szCs w:val="18"/>
        </w:rPr>
        <w:t>:</w:t>
      </w:r>
      <w:r w:rsidRPr="00714725">
        <w:rPr>
          <w:rFonts w:ascii="Arial" w:eastAsia="Times New Roman" w:hAnsi="Arial" w:cs="Arial"/>
          <w:i/>
          <w:iCs/>
          <w:sz w:val="18"/>
          <w:szCs w:val="18"/>
        </w:rPr>
        <w:t xml:space="preserve">  The following areas </w:t>
      </w:r>
      <w:r w:rsidR="000866F4" w:rsidRPr="00714725">
        <w:rPr>
          <w:rFonts w:ascii="Arial" w:eastAsia="Times New Roman" w:hAnsi="Arial" w:cs="Arial"/>
          <w:i/>
          <w:iCs/>
          <w:sz w:val="18"/>
          <w:szCs w:val="18"/>
        </w:rPr>
        <w:t xml:space="preserve">in Algeria </w:t>
      </w:r>
      <w:r w:rsidRPr="00714725">
        <w:rPr>
          <w:rFonts w:ascii="Arial" w:eastAsia="Times New Roman" w:hAnsi="Arial" w:cs="Arial"/>
          <w:i/>
          <w:iCs/>
          <w:sz w:val="18"/>
          <w:szCs w:val="18"/>
        </w:rPr>
        <w:t xml:space="preserve">have a 25% Danger Pay Allowance, </w:t>
      </w:r>
      <w:r w:rsidR="000866F4" w:rsidRPr="00714725">
        <w:rPr>
          <w:rFonts w:ascii="Arial" w:eastAsia="Times New Roman" w:hAnsi="Arial" w:cs="Arial"/>
          <w:i/>
          <w:iCs/>
          <w:sz w:val="18"/>
          <w:szCs w:val="18"/>
        </w:rPr>
        <w:t xml:space="preserve">which became </w:t>
      </w:r>
      <w:r w:rsidRPr="00714725">
        <w:rPr>
          <w:rFonts w:ascii="Arial" w:eastAsia="Times New Roman" w:hAnsi="Arial" w:cs="Arial"/>
          <w:i/>
          <w:iCs/>
          <w:sz w:val="18"/>
          <w:szCs w:val="18"/>
        </w:rPr>
        <w:t>effective 12/13/2015</w:t>
      </w:r>
      <w:r w:rsidR="000866F4"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Adrar</w:t>
      </w:r>
      <w:proofErr w:type="spellEnd"/>
      <w:r w:rsidR="00714725" w:rsidRPr="00714725">
        <w:rPr>
          <w:rFonts w:ascii="Arial" w:eastAsia="Times New Roman" w:hAnsi="Arial" w:cs="Arial"/>
          <w:i/>
          <w:iCs/>
          <w:sz w:val="18"/>
          <w:szCs w:val="18"/>
        </w:rPr>
        <w:t xml:space="preserve">, Bordj Badji Mokhtar, Djanet, </w:t>
      </w:r>
      <w:proofErr w:type="spellStart"/>
      <w:r w:rsidR="00714725" w:rsidRPr="00714725">
        <w:rPr>
          <w:rFonts w:ascii="Arial" w:eastAsia="Times New Roman" w:hAnsi="Arial" w:cs="Arial"/>
          <w:i/>
          <w:iCs/>
          <w:sz w:val="18"/>
          <w:szCs w:val="18"/>
        </w:rPr>
        <w:t>Guezzam</w:t>
      </w:r>
      <w:proofErr w:type="spellEnd"/>
      <w:r w:rsidR="00714725"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Illizi</w:t>
      </w:r>
      <w:proofErr w:type="spellEnd"/>
      <w:r w:rsidR="00714725" w:rsidRPr="00714725">
        <w:rPr>
          <w:rFonts w:ascii="Arial" w:eastAsia="Times New Roman" w:hAnsi="Arial" w:cs="Arial"/>
          <w:i/>
          <w:iCs/>
          <w:sz w:val="18"/>
          <w:szCs w:val="18"/>
        </w:rPr>
        <w:t xml:space="preserve">, Ouargla, </w:t>
      </w:r>
      <w:proofErr w:type="spellStart"/>
      <w:r w:rsidR="00714725" w:rsidRPr="00714725">
        <w:rPr>
          <w:rFonts w:ascii="Arial" w:eastAsia="Times New Roman" w:hAnsi="Arial" w:cs="Arial"/>
          <w:i/>
          <w:iCs/>
          <w:sz w:val="18"/>
          <w:szCs w:val="18"/>
        </w:rPr>
        <w:t>Tebessa</w:t>
      </w:r>
      <w:proofErr w:type="spellEnd"/>
      <w:r w:rsidR="00714725" w:rsidRPr="00714725">
        <w:rPr>
          <w:rFonts w:ascii="Arial" w:eastAsia="Times New Roman" w:hAnsi="Arial" w:cs="Arial"/>
          <w:i/>
          <w:iCs/>
          <w:sz w:val="18"/>
          <w:szCs w:val="18"/>
        </w:rPr>
        <w:t>, and Tamanrasset).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4C2C96B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F208C8">
        <w:rPr>
          <w:rFonts w:ascii="Arial" w:eastAsia="Times New Roman" w:hAnsi="Arial" w:cs="Arial"/>
          <w:sz w:val="18"/>
          <w:szCs w:val="18"/>
        </w:rPr>
        <w:t>1</w:t>
      </w:r>
      <w:r w:rsidR="0026139E">
        <w:rPr>
          <w:rFonts w:ascii="Arial" w:eastAsia="Times New Roman" w:hAnsi="Arial" w:cs="Arial"/>
          <w:sz w:val="18"/>
          <w:szCs w:val="18"/>
        </w:rPr>
        <w:t>/</w:t>
      </w:r>
      <w:r w:rsidR="00F208C8">
        <w:rPr>
          <w:rFonts w:ascii="Arial" w:eastAsia="Times New Roman" w:hAnsi="Arial" w:cs="Arial"/>
          <w:sz w:val="18"/>
          <w:szCs w:val="18"/>
        </w:rPr>
        <w:t>29</w:t>
      </w:r>
      <w:r w:rsidRPr="00433876">
        <w:rPr>
          <w:rFonts w:ascii="Arial" w:eastAsia="Times New Roman" w:hAnsi="Arial" w:cs="Arial"/>
          <w:sz w:val="18"/>
          <w:szCs w:val="18"/>
        </w:rPr>
        <w:t>/20</w:t>
      </w:r>
      <w:r w:rsidR="0026139E">
        <w:rPr>
          <w:rFonts w:ascii="Arial" w:eastAsia="Times New Roman" w:hAnsi="Arial" w:cs="Arial"/>
          <w:sz w:val="18"/>
          <w:szCs w:val="18"/>
        </w:rPr>
        <w:t>2</w:t>
      </w:r>
      <w:r w:rsidR="00F208C8">
        <w:rPr>
          <w:rFonts w:ascii="Arial" w:eastAsia="Times New Roman" w:hAnsi="Arial" w:cs="Arial"/>
          <w:sz w:val="18"/>
          <w:szCs w:val="18"/>
        </w:rPr>
        <w:t>3</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C0AEFEB"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20100</w:t>
            </w:r>
          </w:p>
        </w:tc>
        <w:tc>
          <w:tcPr>
            <w:tcW w:w="990" w:type="dxa"/>
          </w:tcPr>
          <w:p w14:paraId="6B8A27A4" w14:textId="34F1C0A8"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8</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69808A0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78C93AFC"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92</w:t>
            </w:r>
            <w:r w:rsidRPr="00433876">
              <w:rPr>
                <w:rFonts w:ascii="Times New Roman" w:eastAsia="Times New Roman" w:hAnsi="Times New Roman"/>
                <w:sz w:val="16"/>
                <w:szCs w:val="20"/>
              </w:rPr>
              <w:t>00</w:t>
            </w:r>
          </w:p>
        </w:tc>
        <w:tc>
          <w:tcPr>
            <w:tcW w:w="990" w:type="dxa"/>
          </w:tcPr>
          <w:p w14:paraId="41DA9185" w14:textId="327C6B91"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c>
          <w:tcPr>
            <w:tcW w:w="810" w:type="dxa"/>
          </w:tcPr>
          <w:p w14:paraId="790D62CB" w14:textId="5AF5D1C4"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46</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501334" w:rsidRPr="00433876" w14:paraId="4253BF92" w14:textId="77777777" w:rsidTr="001D14C6">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1D14C6">
        <w:tc>
          <w:tcPr>
            <w:tcW w:w="2358" w:type="dxa"/>
          </w:tcPr>
          <w:p w14:paraId="0770AFBA" w14:textId="0C2816A0" w:rsidR="001D14C6" w:rsidRPr="00423A51" w:rsidRDefault="0069781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sz w:val="20"/>
                <w:szCs w:val="20"/>
              </w:rPr>
            </w:pPr>
            <w:r w:rsidRPr="00423A51">
              <w:rPr>
                <w:rFonts w:ascii="Arial" w:eastAsia="Times New Roman" w:hAnsi="Arial" w:cs="Arial"/>
                <w:b/>
                <w:i/>
                <w:iCs/>
                <w:color w:val="0070C0"/>
                <w:sz w:val="20"/>
                <w:szCs w:val="20"/>
              </w:rPr>
              <w:t>**</w:t>
            </w:r>
            <w:r w:rsidR="001D14C6" w:rsidRPr="00423A51">
              <w:rPr>
                <w:rFonts w:ascii="Arial" w:eastAsia="Times New Roman" w:hAnsi="Arial" w:cs="Arial"/>
                <w:b/>
                <w:i/>
                <w:iCs/>
                <w:color w:val="0070C0"/>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Batna,</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Arreridj</w:t>
            </w:r>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44D75C66"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El </w:t>
            </w:r>
          </w:p>
          <w:p w14:paraId="24218C45" w14:textId="14DA2A41"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Skikda</w:t>
            </w:r>
            <w:proofErr w:type="spellEnd"/>
            <w:r w:rsidR="001D14C6" w:rsidRPr="00433876">
              <w:rPr>
                <w:rFonts w:ascii="Arial" w:eastAsia="Times New Roman" w:hAnsi="Arial" w:cs="Arial"/>
                <w:bCs/>
                <w:sz w:val="18"/>
                <w:szCs w:val="18"/>
              </w:rPr>
              <w:t xml:space="preserve">,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52FD710E" w14:textId="09692932" w:rsidR="001D14C6" w:rsidRPr="0043387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tc>
        <w:tc>
          <w:tcPr>
            <w:tcW w:w="1980" w:type="dxa"/>
          </w:tcPr>
          <w:p w14:paraId="5FE70E76" w14:textId="3E31BB4C" w:rsidR="001D14C6" w:rsidRPr="0043387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tc>
      </w:tr>
      <w:tr w:rsidR="00501334" w:rsidRPr="00433876" w14:paraId="602CD131" w14:textId="77777777" w:rsidTr="001D14C6">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DA0C84" w:rsidRPr="00433876" w14:paraId="3B3F9CC2" w14:textId="77777777" w:rsidTr="001D14C6">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235667B8" w14:textId="77777777" w:rsidTr="001D14C6">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DA0C84" w:rsidRPr="00433876" w14:paraId="742B09E5" w14:textId="77777777" w:rsidTr="001D14C6">
        <w:trPr>
          <w:trHeight w:val="210"/>
        </w:trPr>
        <w:tc>
          <w:tcPr>
            <w:tcW w:w="2358" w:type="dxa"/>
          </w:tcPr>
          <w:p w14:paraId="1ACC53A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BB259C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A0C84" w:rsidRPr="00433876" w14:paraId="66AE36DC" w14:textId="77777777" w:rsidTr="001D14C6">
        <w:trPr>
          <w:trHeight w:val="210"/>
        </w:trPr>
        <w:tc>
          <w:tcPr>
            <w:tcW w:w="2358" w:type="dxa"/>
          </w:tcPr>
          <w:p w14:paraId="12ACC649"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93F911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1D14C6">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receive danger pay: Barranquilla, Bogota, Cali, 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1D14C6">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lastRenderedPageBreak/>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DA0C84" w:rsidRPr="00433876" w14:paraId="12F4BA70" w14:textId="77777777" w:rsidTr="001D14C6">
        <w:tc>
          <w:tcPr>
            <w:tcW w:w="2358" w:type="dxa"/>
          </w:tcPr>
          <w:p w14:paraId="704984BF"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6A33E0FC" w14:textId="77777777" w:rsidTr="001D14C6">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22C5AD67"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C62D8B" w:rsidRPr="00433876" w14:paraId="17F3C00D" w14:textId="77777777" w:rsidTr="001D14C6">
        <w:tc>
          <w:tcPr>
            <w:tcW w:w="2358" w:type="dxa"/>
          </w:tcPr>
          <w:p w14:paraId="4DC69B55" w14:textId="2995A00A" w:rsidR="00C62D8B" w:rsidRPr="00C62D8B" w:rsidRDefault="00C62D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b/>
                <w:bCs/>
                <w:sz w:val="18"/>
                <w:szCs w:val="18"/>
              </w:rPr>
              <w:t xml:space="preserve">  </w:t>
            </w:r>
            <w:r>
              <w:rPr>
                <w:rFonts w:ascii="Arial" w:eastAsia="Times New Roman" w:hAnsi="Arial" w:cs="Arial"/>
                <w:sz w:val="18"/>
                <w:szCs w:val="18"/>
              </w:rPr>
              <w:t>Petion</w:t>
            </w:r>
            <w:r w:rsidR="007279B7">
              <w:rPr>
                <w:rFonts w:ascii="Arial" w:eastAsia="Times New Roman" w:hAnsi="Arial" w:cs="Arial"/>
                <w:sz w:val="18"/>
                <w:szCs w:val="18"/>
              </w:rPr>
              <w:t>ville</w:t>
            </w:r>
          </w:p>
        </w:tc>
        <w:tc>
          <w:tcPr>
            <w:tcW w:w="1980" w:type="dxa"/>
          </w:tcPr>
          <w:p w14:paraId="5741F228" w14:textId="1B559319" w:rsidR="00C62D8B" w:rsidRDefault="007279B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28AF74FC"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592C8F" w:rsidRPr="00433876" w14:paraId="55333A35" w14:textId="77777777" w:rsidTr="001D14C6">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DB11AD" w:rsidRPr="00433876" w14:paraId="420FD7D1" w14:textId="77777777" w:rsidTr="001D14C6">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1D14C6">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1D14C6">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1D14C6">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1D14C6">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1D14C6">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1D14C6">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00223AFF">
              <w:rPr>
                <w:rFonts w:ascii="Arial" w:eastAsia="Times New Roman" w:hAnsi="Arial" w:cs="Arial"/>
                <w:sz w:val="18"/>
                <w:szCs w:val="18"/>
              </w:rPr>
              <w:t>Karmi’el</w:t>
            </w:r>
            <w:proofErr w:type="spellEnd"/>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1D14C6">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1D14C6">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1D14C6">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1D14C6">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Garissa, Tana River, Lamu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5559F7" w:rsidRPr="00433876" w14:paraId="2623B68A" w14:textId="77777777" w:rsidTr="001D14C6">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1D14C6">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1D14C6">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1D14C6">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Djenne,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Adamawa, Bauchi, Bayelsa, Borno, Delta, Gombe, 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866085" w:rsidRPr="00433876" w14:paraId="3DC8FB9F" w14:textId="77777777" w:rsidTr="001D14C6">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866085" w:rsidRPr="00433876" w14:paraId="7D596F44" w14:textId="77777777" w:rsidTr="001D14C6">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Satipo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1D14C6">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Mindanao, Davao 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1D14C6">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1D14C6">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3AD4DF6C" w14:textId="77777777" w:rsidTr="001D14C6">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DA0C84">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5013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71CBA06D" w14:textId="77777777" w:rsidTr="001D14C6">
        <w:trPr>
          <w:trHeight w:val="210"/>
        </w:trPr>
        <w:tc>
          <w:tcPr>
            <w:tcW w:w="2358" w:type="dxa"/>
          </w:tcPr>
          <w:p w14:paraId="77499F14"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E68B3EE"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106C284B" w14:textId="77777777" w:rsidTr="001D14C6">
        <w:trPr>
          <w:trHeight w:val="210"/>
        </w:trPr>
        <w:tc>
          <w:tcPr>
            <w:tcW w:w="2358" w:type="dxa"/>
          </w:tcPr>
          <w:p w14:paraId="5722F335"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2D92BA4"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2D142AE8" w14:textId="77777777" w:rsidTr="001D14C6">
        <w:trPr>
          <w:trHeight w:val="210"/>
        </w:trPr>
        <w:tc>
          <w:tcPr>
            <w:tcW w:w="2358" w:type="dxa"/>
          </w:tcPr>
          <w:p w14:paraId="22827549"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DA419F"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BF1C990" w14:textId="07CEE2EB" w:rsidR="001D14C6" w:rsidRPr="00433876" w:rsidRDefault="001D14C6"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Mardin,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sidR="00FF4A51">
              <w:rPr>
                <w:rFonts w:ascii="Arial" w:eastAsia="Times New Roman" w:hAnsi="Arial" w:cs="Arial"/>
                <w:bCs/>
                <w:sz w:val="18"/>
                <w:szCs w:val="18"/>
              </w:rPr>
              <w:t>Lviv</w:t>
            </w:r>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0FA5" w14:textId="77777777" w:rsidR="00756A9A" w:rsidRDefault="00756A9A" w:rsidP="005C21CA">
      <w:pPr>
        <w:spacing w:after="0" w:line="240" w:lineRule="auto"/>
      </w:pPr>
      <w:r>
        <w:separator/>
      </w:r>
    </w:p>
  </w:endnote>
  <w:endnote w:type="continuationSeparator" w:id="0">
    <w:p w14:paraId="237DB90D" w14:textId="77777777" w:rsidR="00756A9A" w:rsidRDefault="00756A9A"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1E9A" w14:textId="77777777" w:rsidR="00756A9A" w:rsidRDefault="00756A9A" w:rsidP="005C21CA">
      <w:pPr>
        <w:spacing w:after="0" w:line="240" w:lineRule="auto"/>
      </w:pPr>
      <w:r>
        <w:separator/>
      </w:r>
    </w:p>
  </w:footnote>
  <w:footnote w:type="continuationSeparator" w:id="0">
    <w:p w14:paraId="3D2743DA" w14:textId="77777777" w:rsidR="00756A9A" w:rsidRDefault="00756A9A"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4428B"/>
    <w:rsid w:val="00077E84"/>
    <w:rsid w:val="000866F4"/>
    <w:rsid w:val="00096E37"/>
    <w:rsid w:val="001347CF"/>
    <w:rsid w:val="0017799C"/>
    <w:rsid w:val="00183A9B"/>
    <w:rsid w:val="001B1FBE"/>
    <w:rsid w:val="001B335B"/>
    <w:rsid w:val="001C76BA"/>
    <w:rsid w:val="001D14C6"/>
    <w:rsid w:val="001D5BA5"/>
    <w:rsid w:val="00213B8F"/>
    <w:rsid w:val="00223AFF"/>
    <w:rsid w:val="00223C60"/>
    <w:rsid w:val="00231C27"/>
    <w:rsid w:val="00235437"/>
    <w:rsid w:val="0026139E"/>
    <w:rsid w:val="0032449A"/>
    <w:rsid w:val="00350E09"/>
    <w:rsid w:val="00372807"/>
    <w:rsid w:val="00396997"/>
    <w:rsid w:val="003C0551"/>
    <w:rsid w:val="003C1ECD"/>
    <w:rsid w:val="003E12C1"/>
    <w:rsid w:val="003E5C15"/>
    <w:rsid w:val="0040683E"/>
    <w:rsid w:val="0042018B"/>
    <w:rsid w:val="00423A51"/>
    <w:rsid w:val="0042550D"/>
    <w:rsid w:val="00433876"/>
    <w:rsid w:val="0044219E"/>
    <w:rsid w:val="00457221"/>
    <w:rsid w:val="00464C76"/>
    <w:rsid w:val="00476C69"/>
    <w:rsid w:val="004A3A37"/>
    <w:rsid w:val="004A7CDE"/>
    <w:rsid w:val="00501334"/>
    <w:rsid w:val="005057A7"/>
    <w:rsid w:val="00507181"/>
    <w:rsid w:val="005151DE"/>
    <w:rsid w:val="00515911"/>
    <w:rsid w:val="00525DE6"/>
    <w:rsid w:val="005559F7"/>
    <w:rsid w:val="00560C89"/>
    <w:rsid w:val="005805F6"/>
    <w:rsid w:val="00592C8F"/>
    <w:rsid w:val="00593709"/>
    <w:rsid w:val="005B679A"/>
    <w:rsid w:val="005B7059"/>
    <w:rsid w:val="005C0A34"/>
    <w:rsid w:val="005C21CA"/>
    <w:rsid w:val="0060141E"/>
    <w:rsid w:val="006400AC"/>
    <w:rsid w:val="006829C6"/>
    <w:rsid w:val="00686EA2"/>
    <w:rsid w:val="00697812"/>
    <w:rsid w:val="006A176F"/>
    <w:rsid w:val="006A179D"/>
    <w:rsid w:val="006B3D52"/>
    <w:rsid w:val="006B6788"/>
    <w:rsid w:val="006C2DB7"/>
    <w:rsid w:val="006E50D6"/>
    <w:rsid w:val="00714725"/>
    <w:rsid w:val="00721A61"/>
    <w:rsid w:val="007279B7"/>
    <w:rsid w:val="00750977"/>
    <w:rsid w:val="00756A9A"/>
    <w:rsid w:val="007570D2"/>
    <w:rsid w:val="007A25A3"/>
    <w:rsid w:val="007C338E"/>
    <w:rsid w:val="0080748B"/>
    <w:rsid w:val="00815A62"/>
    <w:rsid w:val="0083010E"/>
    <w:rsid w:val="00866085"/>
    <w:rsid w:val="008671F6"/>
    <w:rsid w:val="00867C87"/>
    <w:rsid w:val="0087046B"/>
    <w:rsid w:val="00891A7A"/>
    <w:rsid w:val="008950BD"/>
    <w:rsid w:val="008E5EEE"/>
    <w:rsid w:val="008F09A0"/>
    <w:rsid w:val="009113AC"/>
    <w:rsid w:val="00921AE7"/>
    <w:rsid w:val="009310F3"/>
    <w:rsid w:val="0093376E"/>
    <w:rsid w:val="009362D4"/>
    <w:rsid w:val="00A274B0"/>
    <w:rsid w:val="00A4673A"/>
    <w:rsid w:val="00A534A6"/>
    <w:rsid w:val="00A72634"/>
    <w:rsid w:val="00A832D1"/>
    <w:rsid w:val="00A85092"/>
    <w:rsid w:val="00A9743C"/>
    <w:rsid w:val="00A97970"/>
    <w:rsid w:val="00AC2F30"/>
    <w:rsid w:val="00AC6693"/>
    <w:rsid w:val="00AD25D5"/>
    <w:rsid w:val="00AE54F1"/>
    <w:rsid w:val="00B07717"/>
    <w:rsid w:val="00B26EB2"/>
    <w:rsid w:val="00B577C1"/>
    <w:rsid w:val="00B61E11"/>
    <w:rsid w:val="00B6580F"/>
    <w:rsid w:val="00B95C5F"/>
    <w:rsid w:val="00BC0050"/>
    <w:rsid w:val="00BC6E39"/>
    <w:rsid w:val="00BD0431"/>
    <w:rsid w:val="00BE12E8"/>
    <w:rsid w:val="00C045E2"/>
    <w:rsid w:val="00C13201"/>
    <w:rsid w:val="00C21583"/>
    <w:rsid w:val="00C44860"/>
    <w:rsid w:val="00C51885"/>
    <w:rsid w:val="00C54E8D"/>
    <w:rsid w:val="00C62D8B"/>
    <w:rsid w:val="00C8362C"/>
    <w:rsid w:val="00CC2624"/>
    <w:rsid w:val="00CD0E99"/>
    <w:rsid w:val="00CE14AA"/>
    <w:rsid w:val="00CE2D9A"/>
    <w:rsid w:val="00CE3B62"/>
    <w:rsid w:val="00CE3F5E"/>
    <w:rsid w:val="00D0359D"/>
    <w:rsid w:val="00D257B6"/>
    <w:rsid w:val="00D30FC0"/>
    <w:rsid w:val="00D32C44"/>
    <w:rsid w:val="00D84B14"/>
    <w:rsid w:val="00DA0C84"/>
    <w:rsid w:val="00DB11AD"/>
    <w:rsid w:val="00DB4001"/>
    <w:rsid w:val="00E1460D"/>
    <w:rsid w:val="00E4598D"/>
    <w:rsid w:val="00E60201"/>
    <w:rsid w:val="00E6289F"/>
    <w:rsid w:val="00E80E1C"/>
    <w:rsid w:val="00EC1EAE"/>
    <w:rsid w:val="00ED10FD"/>
    <w:rsid w:val="00EF49D8"/>
    <w:rsid w:val="00F208C8"/>
    <w:rsid w:val="00F34A74"/>
    <w:rsid w:val="00F624A3"/>
    <w:rsid w:val="00FA3157"/>
    <w:rsid w:val="00FB1A31"/>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Odom, Bahia</cp:lastModifiedBy>
  <cp:revision>7</cp:revision>
  <dcterms:created xsi:type="dcterms:W3CDTF">2023-10-19T19:15:00Z</dcterms:created>
  <dcterms:modified xsi:type="dcterms:W3CDTF">2023-10-19T19:52:00Z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